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EB56" w14:textId="07D6685A" w:rsidR="00FF47C1" w:rsidRPr="00C3707D" w:rsidRDefault="00C3707D" w:rsidP="00A750AF">
      <w:pPr>
        <w:spacing w:after="120" w:line="240" w:lineRule="auto"/>
        <w:jc w:val="center"/>
        <w:rPr>
          <w:rFonts w:asciiTheme="majorHAnsi" w:hAnsiTheme="majorHAnsi" w:cstheme="majorHAnsi"/>
          <w:b/>
          <w:bCs/>
          <w:color w:val="7030A0"/>
          <w:sz w:val="36"/>
          <w:szCs w:val="36"/>
        </w:rPr>
      </w:pPr>
      <w:r w:rsidRPr="00C3707D">
        <w:rPr>
          <w:rFonts w:asciiTheme="majorHAnsi" w:hAnsiTheme="majorHAnsi" w:cstheme="majorHAnsi"/>
          <w:b/>
          <w:bCs/>
          <w:color w:val="7030A0"/>
          <w:sz w:val="36"/>
          <w:szCs w:val="36"/>
        </w:rPr>
        <w:t>Dr Despoina Chrysostomou</w:t>
      </w:r>
    </w:p>
    <w:p w14:paraId="4823B8D4" w14:textId="2C77C7CF" w:rsidR="009B275F" w:rsidRPr="00C3707D" w:rsidRDefault="009B275F" w:rsidP="00441F96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3707D">
        <w:rPr>
          <w:rFonts w:asciiTheme="majorHAnsi" w:hAnsiTheme="majorHAnsi" w:cstheme="majorHAnsi"/>
          <w:b/>
          <w:bCs/>
          <w:sz w:val="26"/>
          <w:szCs w:val="26"/>
        </w:rPr>
        <w:t>Address</w:t>
      </w:r>
      <w:r w:rsidRPr="00C3707D">
        <w:rPr>
          <w:rFonts w:asciiTheme="majorHAnsi" w:hAnsiTheme="majorHAnsi" w:cstheme="majorHAnsi"/>
          <w:sz w:val="26"/>
          <w:szCs w:val="26"/>
        </w:rPr>
        <w:t>: 10th Floor QEQM building, St Mary’s Hospital, W2 1NY, London, UK</w:t>
      </w:r>
    </w:p>
    <w:p w14:paraId="74D5B916" w14:textId="462A755B" w:rsidR="008C001E" w:rsidRPr="00C3707D" w:rsidRDefault="00852EB9" w:rsidP="008C001E">
      <w:pPr>
        <w:spacing w:after="12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3707D">
        <w:rPr>
          <w:rFonts w:asciiTheme="majorHAnsi" w:hAnsiTheme="majorHAnsi" w:cstheme="majorHAnsi"/>
          <w:b/>
          <w:bCs/>
          <w:sz w:val="26"/>
          <w:szCs w:val="26"/>
        </w:rPr>
        <w:t>Email</w:t>
      </w:r>
      <w:r w:rsidR="009B275F" w:rsidRPr="00C3707D">
        <w:rPr>
          <w:rFonts w:asciiTheme="majorHAnsi" w:hAnsiTheme="majorHAnsi" w:cstheme="majorHAnsi"/>
          <w:sz w:val="26"/>
          <w:szCs w:val="26"/>
        </w:rPr>
        <w:t xml:space="preserve">: </w:t>
      </w:r>
      <w:hyperlink r:id="rId7" w:history="1">
        <w:r w:rsidR="009B275F" w:rsidRPr="00C3707D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dc718@ic.ac.uk</w:t>
        </w:r>
      </w:hyperlink>
      <w:r w:rsidRPr="00C3707D">
        <w:rPr>
          <w:rFonts w:asciiTheme="majorHAnsi" w:hAnsiTheme="majorHAnsi" w:cstheme="majorHAnsi"/>
          <w:sz w:val="26"/>
          <w:szCs w:val="26"/>
        </w:rPr>
        <w:t xml:space="preserve"> </w:t>
      </w:r>
      <w:r w:rsidRPr="00C3707D">
        <w:rPr>
          <w:rFonts w:asciiTheme="majorHAnsi" w:hAnsiTheme="majorHAnsi" w:cstheme="majorHAnsi"/>
          <w:b/>
          <w:bCs/>
          <w:sz w:val="26"/>
          <w:szCs w:val="26"/>
        </w:rPr>
        <w:t>Telephone number:</w:t>
      </w:r>
      <w:r w:rsidR="009B275F" w:rsidRPr="00C3707D">
        <w:rPr>
          <w:rFonts w:asciiTheme="majorHAnsi" w:hAnsiTheme="majorHAnsi" w:cstheme="majorHAnsi"/>
          <w:sz w:val="26"/>
          <w:szCs w:val="26"/>
        </w:rPr>
        <w:t xml:space="preserve"> +44(0)7835254205</w:t>
      </w:r>
    </w:p>
    <w:p w14:paraId="1D716C48" w14:textId="77777777" w:rsidR="008C001E" w:rsidRDefault="008C001E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001E" w14:paraId="50D72C2A" w14:textId="77777777" w:rsidTr="00C3707D">
        <w:trPr>
          <w:trHeight w:val="377"/>
        </w:trPr>
        <w:tc>
          <w:tcPr>
            <w:tcW w:w="9628" w:type="dxa"/>
            <w:tcBorders>
              <w:bottom w:val="single" w:sz="4" w:space="0" w:color="auto"/>
            </w:tcBorders>
          </w:tcPr>
          <w:p w14:paraId="457912E8" w14:textId="133D23A3" w:rsidR="008C001E" w:rsidRPr="00C3707D" w:rsidRDefault="008C001E" w:rsidP="00C3707D">
            <w:pPr>
              <w:tabs>
                <w:tab w:val="center" w:pos="5304"/>
              </w:tabs>
              <w:spacing w:after="3"/>
              <w:ind w:left="-10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3707D">
              <w:rPr>
                <w:rFonts w:asciiTheme="majorHAnsi" w:hAnsiTheme="majorHAnsi" w:cstheme="majorHAnsi"/>
                <w:b/>
                <w:bCs/>
                <w:color w:val="7030A0"/>
                <w:sz w:val="26"/>
                <w:szCs w:val="26"/>
              </w:rPr>
              <w:t>SCIENTIFIC</w:t>
            </w:r>
            <w:r w:rsidRPr="00C3707D">
              <w:rPr>
                <w:rFonts w:asciiTheme="majorHAnsi" w:hAnsiTheme="majorHAnsi" w:cstheme="majorHAns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C3707D">
              <w:rPr>
                <w:rFonts w:asciiTheme="majorHAnsi" w:hAnsiTheme="majorHAnsi" w:cstheme="majorHAnsi"/>
                <w:b/>
                <w:bCs/>
                <w:color w:val="7030A0"/>
                <w:sz w:val="26"/>
                <w:szCs w:val="26"/>
              </w:rPr>
              <w:t>INTERESTS</w:t>
            </w:r>
          </w:p>
        </w:tc>
      </w:tr>
      <w:tr w:rsidR="008C001E" w14:paraId="10555D8C" w14:textId="77777777" w:rsidTr="00C3707D">
        <w:tc>
          <w:tcPr>
            <w:tcW w:w="9628" w:type="dxa"/>
            <w:tcBorders>
              <w:top w:val="single" w:sz="4" w:space="0" w:color="auto"/>
            </w:tcBorders>
          </w:tcPr>
          <w:p w14:paraId="46A7041B" w14:textId="24B2A7F6" w:rsidR="008C001E" w:rsidRPr="00C3707D" w:rsidRDefault="008C001E" w:rsidP="00C3707D">
            <w:pPr>
              <w:tabs>
                <w:tab w:val="center" w:pos="5304"/>
              </w:tabs>
              <w:spacing w:after="3" w:line="260" w:lineRule="auto"/>
              <w:ind w:left="-105"/>
              <w:jc w:val="both"/>
              <w:rPr>
                <w:rFonts w:asciiTheme="majorHAnsi" w:hAnsiTheme="majorHAnsi" w:cstheme="majorHAnsi"/>
              </w:rPr>
            </w:pP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My work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focuses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o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n delineating the role of gut microbiome in the efficacy and toxicity of chemotherapeutic agents used as a first line treatment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for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cancer.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During my PhD I have developed assays </w:t>
            </w:r>
            <w:r w:rsidRPr="00C3707D">
              <w:rPr>
                <w:rFonts w:asciiTheme="majorHAnsi" w:hAnsiTheme="majorHAnsi" w:cstheme="majorHAnsi"/>
                <w:i/>
                <w:iCs/>
                <w:color w:val="161515"/>
                <w:shd w:val="clear" w:color="auto" w:fill="FFFFFF"/>
              </w:rPr>
              <w:t>in vitro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to explore bacteria-drug interactions and validated those in animal models. Utilising samples from human clinical cohorts, I am aiming to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identif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y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circulating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microbial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metabolites that can be used as markers of chemotherapy efficacy and toxicity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using high-throughput metabolomics approaches including </w:t>
            </w:r>
            <w:r w:rsidRPr="00C3707D">
              <w:rPr>
                <w:rFonts w:asciiTheme="majorHAnsi" w:eastAsiaTheme="minorEastAsia" w:hAnsiTheme="majorHAnsi" w:cstheme="majorHAnsi"/>
                <w:kern w:val="2"/>
                <w:lang w:eastAsia="en-GB"/>
                <w14:ligatures w14:val="standardContextual"/>
              </w:rPr>
              <w:t>Liquid Chromatography-Mass Spectrometry (LC-MS</w:t>
            </w:r>
            <w:r w:rsidRPr="00C3707D">
              <w:rPr>
                <w:rFonts w:asciiTheme="majorHAnsi" w:eastAsiaTheme="minorEastAsia" w:hAnsiTheme="majorHAnsi" w:cstheme="majorHAnsi"/>
                <w:kern w:val="2"/>
                <w:lang w:eastAsia="en-GB"/>
                <w14:ligatures w14:val="standardContextual"/>
              </w:rPr>
              <w:t>) and Nuclear Magnetic Resonance (NMR)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.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I am also employing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metataxonomic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approaches (e.g., 16S rRNA gene sequencing)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to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identif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y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key bacteria </w:t>
            </w:r>
            <w:r w:rsidR="00C3707D"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species metabolising </w:t>
            </w:r>
            <w:r w:rsidRP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>chemotherapeutic agents</w:t>
            </w:r>
            <w:r w:rsidR="00C3707D">
              <w:rPr>
                <w:rFonts w:asciiTheme="majorHAnsi" w:hAnsiTheme="majorHAnsi" w:cstheme="majorHAnsi"/>
                <w:color w:val="161515"/>
                <w:shd w:val="clear" w:color="auto" w:fill="FFFFFF"/>
              </w:rPr>
              <w:t xml:space="preserve"> and altering their efficacy. As part of my role as a post-doctoral scientist at Imperial College London, I am working towards developing an encapsulated Intestinal Microbiota Transplant (IMT) product for overcoming the obstacles associated with the current ways of IMT administration, and ultimately move towards a more patient-friendly way of IMT administration. </w:t>
            </w:r>
          </w:p>
        </w:tc>
      </w:tr>
    </w:tbl>
    <w:p w14:paraId="5783F0A1" w14:textId="77777777" w:rsidR="008C001E" w:rsidRDefault="008C001E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</w:rPr>
      </w:pPr>
    </w:p>
    <w:tbl>
      <w:tblPr>
        <w:tblStyle w:val="TableGrid1"/>
        <w:tblpPr w:leftFromText="180" w:rightFromText="180" w:vertAnchor="page" w:horzAnchor="margin" w:tblpY="6616"/>
        <w:tblW w:w="9493" w:type="dxa"/>
        <w:tblInd w:w="0" w:type="dxa"/>
        <w:tblLook w:val="04A0" w:firstRow="1" w:lastRow="0" w:firstColumn="1" w:lastColumn="0" w:noHBand="0" w:noVBand="1"/>
      </w:tblPr>
      <w:tblGrid>
        <w:gridCol w:w="2410"/>
        <w:gridCol w:w="7083"/>
      </w:tblGrid>
      <w:tr w:rsidR="00C3707D" w:rsidRPr="00C27ED0" w14:paraId="48677810" w14:textId="77777777" w:rsidTr="00C3707D">
        <w:trPr>
          <w:trHeight w:val="418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0CDE54CA" w14:textId="77777777" w:rsidR="00C3707D" w:rsidRPr="00C3707D" w:rsidRDefault="00C3707D" w:rsidP="00C3707D">
            <w:pPr>
              <w:tabs>
                <w:tab w:val="center" w:pos="5304"/>
              </w:tabs>
              <w:spacing w:after="3"/>
              <w:rPr>
                <w:rFonts w:asciiTheme="majorHAnsi" w:hAnsiTheme="majorHAnsi" w:cstheme="majorHAnsi"/>
                <w:b/>
                <w:color w:val="942093"/>
                <w:sz w:val="26"/>
                <w:szCs w:val="26"/>
              </w:rPr>
            </w:pPr>
            <w:r w:rsidRPr="00C3707D">
              <w:rPr>
                <w:rFonts w:asciiTheme="majorHAnsi" w:hAnsiTheme="majorHAnsi" w:cstheme="majorHAnsi"/>
                <w:b/>
                <w:bCs/>
                <w:color w:val="7030A0"/>
                <w:sz w:val="26"/>
                <w:szCs w:val="26"/>
              </w:rPr>
              <w:t>QUALIFICATIONS</w:t>
            </w:r>
          </w:p>
        </w:tc>
      </w:tr>
      <w:tr w:rsidR="00C3707D" w:rsidRPr="00C27ED0" w14:paraId="78CD889A" w14:textId="77777777" w:rsidTr="00C3707D">
        <w:trPr>
          <w:trHeight w:val="542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4475DDDF" w14:textId="77777777" w:rsidR="00C3707D" w:rsidRPr="00C27ED0" w:rsidRDefault="00C3707D" w:rsidP="00C3707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>IMPERIAL COLLEGE LONDON</w:t>
            </w:r>
          </w:p>
        </w:tc>
      </w:tr>
      <w:tr w:rsidR="00C3707D" w:rsidRPr="00C27ED0" w14:paraId="3C7FCFB7" w14:textId="77777777" w:rsidTr="00C3707D">
        <w:trPr>
          <w:trHeight w:val="1436"/>
        </w:trPr>
        <w:tc>
          <w:tcPr>
            <w:tcW w:w="2410" w:type="dxa"/>
          </w:tcPr>
          <w:p w14:paraId="7FFE7EEB" w14:textId="77777777" w:rsidR="00C3707D" w:rsidRPr="00C27ED0" w:rsidRDefault="00C3707D" w:rsidP="00C370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Jan 2024 – Present</w:t>
            </w:r>
          </w:p>
        </w:tc>
        <w:tc>
          <w:tcPr>
            <w:tcW w:w="7083" w:type="dxa"/>
          </w:tcPr>
          <w:p w14:paraId="6157EAB1" w14:textId="77777777" w:rsidR="00C3707D" w:rsidRPr="00C27ED0" w:rsidRDefault="00C3707D" w:rsidP="00C3707D">
            <w:pPr>
              <w:ind w:left="14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Research Associate in Cancer </w:t>
            </w:r>
            <w:proofErr w:type="spellStart"/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>Pharmacomicrobiomics</w:t>
            </w:r>
            <w:proofErr w:type="spellEnd"/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applications in Translational Medicine - Department of Metabolism, Digestion and Reproduction.</w:t>
            </w:r>
          </w:p>
          <w:p w14:paraId="04D362BE" w14:textId="77777777" w:rsidR="00C3707D" w:rsidRPr="00C27ED0" w:rsidRDefault="00C3707D" w:rsidP="00C3707D">
            <w:pPr>
              <w:ind w:left="148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bCs/>
                <w:sz w:val="22"/>
                <w:szCs w:val="22"/>
              </w:rPr>
              <w:t>Investigating microbiome-host-drug interactions and optimising a lyophilised faecal microbiota capsule formulation.</w:t>
            </w:r>
          </w:p>
        </w:tc>
      </w:tr>
      <w:tr w:rsidR="00C3707D" w:rsidRPr="00C27ED0" w14:paraId="2CCA5796" w14:textId="77777777" w:rsidTr="00C3707D">
        <w:trPr>
          <w:trHeight w:val="1293"/>
        </w:trPr>
        <w:tc>
          <w:tcPr>
            <w:tcW w:w="2410" w:type="dxa"/>
          </w:tcPr>
          <w:p w14:paraId="0E507E45" w14:textId="77777777" w:rsidR="00C3707D" w:rsidRPr="00C27ED0" w:rsidRDefault="00C3707D" w:rsidP="00C3707D">
            <w:pPr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Oct 2019 – Jan 2024</w:t>
            </w:r>
          </w:p>
        </w:tc>
        <w:tc>
          <w:tcPr>
            <w:tcW w:w="7083" w:type="dxa"/>
          </w:tcPr>
          <w:p w14:paraId="4108C7ED" w14:textId="77777777" w:rsidR="00C3707D" w:rsidRPr="00C27ED0" w:rsidRDefault="00C3707D" w:rsidP="00C3707D">
            <w:pPr>
              <w:ind w:left="14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PhD in Clinical Research </w:t>
            </w:r>
            <w:proofErr w:type="gramStart"/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>Medicine  -</w:t>
            </w:r>
            <w:proofErr w:type="gramEnd"/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Department of Metabolism, Digestion and Reproduction.</w:t>
            </w:r>
          </w:p>
          <w:p w14:paraId="08EAA50B" w14:textId="77777777" w:rsidR="00C3707D" w:rsidRPr="00C27ED0" w:rsidRDefault="00C3707D" w:rsidP="00C3707D">
            <w:pPr>
              <w:ind w:left="14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Identification of circulating markers of gut microbiome function modulating therapy responses in colorectal cancer. </w:t>
            </w:r>
          </w:p>
        </w:tc>
      </w:tr>
      <w:tr w:rsidR="00C3707D" w:rsidRPr="00C27ED0" w14:paraId="0F350B73" w14:textId="77777777" w:rsidTr="00C3707D">
        <w:trPr>
          <w:trHeight w:val="575"/>
        </w:trPr>
        <w:tc>
          <w:tcPr>
            <w:tcW w:w="2410" w:type="dxa"/>
          </w:tcPr>
          <w:p w14:paraId="698EDEFF" w14:textId="77777777" w:rsidR="00C3707D" w:rsidRPr="00C27ED0" w:rsidRDefault="00C3707D" w:rsidP="00C370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Sep 2018 – Sep 2019 </w:t>
            </w:r>
          </w:p>
        </w:tc>
        <w:tc>
          <w:tcPr>
            <w:tcW w:w="7083" w:type="dxa"/>
          </w:tcPr>
          <w:p w14:paraId="290DBDBF" w14:textId="77777777" w:rsidR="00C3707D" w:rsidRPr="00C27ED0" w:rsidRDefault="00C3707D" w:rsidP="00C3707D">
            <w:pPr>
              <w:spacing w:after="144"/>
              <w:ind w:left="148"/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>MSc Functional Omics / Applied Genomics (Distinction)</w:t>
            </w:r>
          </w:p>
        </w:tc>
      </w:tr>
      <w:tr w:rsidR="00C3707D" w:rsidRPr="00C27ED0" w14:paraId="38797FA7" w14:textId="77777777" w:rsidTr="00C3707D">
        <w:trPr>
          <w:trHeight w:val="410"/>
        </w:trPr>
        <w:tc>
          <w:tcPr>
            <w:tcW w:w="9493" w:type="dxa"/>
            <w:gridSpan w:val="2"/>
          </w:tcPr>
          <w:p w14:paraId="01050410" w14:textId="77777777" w:rsidR="00C3707D" w:rsidRPr="00C27ED0" w:rsidRDefault="00C3707D" w:rsidP="00C3707D">
            <w:pPr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  <w:b/>
              </w:rPr>
              <w:t>THE UNIVERSITY OF SHEFFIELD</w:t>
            </w:r>
          </w:p>
        </w:tc>
      </w:tr>
      <w:tr w:rsidR="00C3707D" w:rsidRPr="00C27ED0" w14:paraId="7C63955A" w14:textId="77777777" w:rsidTr="00C3707D">
        <w:trPr>
          <w:trHeight w:val="218"/>
        </w:trPr>
        <w:tc>
          <w:tcPr>
            <w:tcW w:w="2410" w:type="dxa"/>
          </w:tcPr>
          <w:p w14:paraId="2822F918" w14:textId="77777777" w:rsidR="00C3707D" w:rsidRPr="00C27ED0" w:rsidRDefault="00C3707D" w:rsidP="00C370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Sep 2015 – July 2018</w:t>
            </w:r>
          </w:p>
        </w:tc>
        <w:tc>
          <w:tcPr>
            <w:tcW w:w="7083" w:type="dxa"/>
          </w:tcPr>
          <w:p w14:paraId="60BAE156" w14:textId="77777777" w:rsidR="00C3707D" w:rsidRPr="00C27ED0" w:rsidRDefault="00C3707D" w:rsidP="00C3707D">
            <w:pPr>
              <w:ind w:left="14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>BSc Biomedical Science (2:1)</w:t>
            </w:r>
          </w:p>
        </w:tc>
      </w:tr>
    </w:tbl>
    <w:p w14:paraId="43FE7F27" w14:textId="47BE057D" w:rsidR="00C3707D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7F95CB2B" w14:textId="77777777" w:rsidR="00C3707D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0CCB7CFC" w14:textId="77777777" w:rsidR="00C3707D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C3707D" w:rsidRPr="00C27ED0" w14:paraId="2AFBFA7B" w14:textId="77777777" w:rsidTr="00462B72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4BCDA33B" w14:textId="77777777" w:rsidR="00C3707D" w:rsidRPr="00C3707D" w:rsidRDefault="00C3707D" w:rsidP="00462B72">
            <w:pPr>
              <w:tabs>
                <w:tab w:val="center" w:pos="5304"/>
              </w:tabs>
              <w:spacing w:after="3"/>
              <w:ind w:left="-120"/>
              <w:rPr>
                <w:rFonts w:asciiTheme="majorHAnsi" w:hAnsiTheme="majorHAnsi" w:cstheme="majorHAnsi"/>
                <w:color w:val="006699"/>
                <w:sz w:val="26"/>
                <w:szCs w:val="26"/>
              </w:rPr>
            </w:pPr>
            <w:r w:rsidRPr="00C3707D">
              <w:rPr>
                <w:rFonts w:asciiTheme="majorHAnsi" w:eastAsiaTheme="minorEastAsia" w:hAnsiTheme="majorHAnsi" w:cstheme="majorHAnsi"/>
                <w:b/>
                <w:bCs/>
                <w:color w:val="7030A0"/>
                <w:kern w:val="2"/>
                <w:sz w:val="26"/>
                <w:szCs w:val="26"/>
                <w:lang w:eastAsia="en-GB"/>
                <w14:ligatures w14:val="standardContextual"/>
              </w:rPr>
              <w:t xml:space="preserve">CONFERENCES, AWARDS, AND PUBLICATIONS </w:t>
            </w:r>
          </w:p>
        </w:tc>
      </w:tr>
      <w:tr w:rsidR="00C3707D" w:rsidRPr="00C27ED0" w14:paraId="5435FC9D" w14:textId="77777777" w:rsidTr="00462B72">
        <w:trPr>
          <w:trHeight w:val="1417"/>
        </w:trPr>
        <w:tc>
          <w:tcPr>
            <w:tcW w:w="2263" w:type="dxa"/>
            <w:tcBorders>
              <w:top w:val="single" w:sz="4" w:space="0" w:color="auto"/>
            </w:tcBorders>
          </w:tcPr>
          <w:p w14:paraId="1FC517AD" w14:textId="77777777" w:rsidR="00C3707D" w:rsidRPr="00C27ED0" w:rsidRDefault="00C3707D" w:rsidP="00462B72">
            <w:pPr>
              <w:tabs>
                <w:tab w:val="center" w:pos="5304"/>
              </w:tabs>
              <w:spacing w:before="120" w:after="3" w:line="259" w:lineRule="auto"/>
              <w:ind w:left="-120"/>
              <w:rPr>
                <w:rFonts w:asciiTheme="majorHAnsi" w:hAnsiTheme="majorHAnsi" w:cstheme="majorHAnsi"/>
                <w:b/>
                <w:bCs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>Conferences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672A1D44" w14:textId="77777777" w:rsidR="00C3707D" w:rsidRPr="00C27ED0" w:rsidRDefault="00C3707D" w:rsidP="00462B72">
            <w:pPr>
              <w:tabs>
                <w:tab w:val="center" w:pos="5304"/>
              </w:tabs>
              <w:spacing w:before="120" w:after="3" w:line="259" w:lineRule="auto"/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 xml:space="preserve">Seedpods Day 2021, </w:t>
            </w:r>
            <w:r w:rsidRPr="00C27ED0">
              <w:rPr>
                <w:rFonts w:asciiTheme="majorHAnsi" w:hAnsiTheme="majorHAnsi" w:cstheme="majorHAnsi"/>
              </w:rPr>
              <w:t>France (Virtually - Oral Presentation)</w:t>
            </w:r>
          </w:p>
          <w:p w14:paraId="55B1963D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 xml:space="preserve">Digestive Disease Week 2022, </w:t>
            </w:r>
            <w:r w:rsidRPr="00C27ED0">
              <w:rPr>
                <w:rFonts w:asciiTheme="majorHAnsi" w:hAnsiTheme="majorHAnsi" w:cstheme="majorHAnsi"/>
              </w:rPr>
              <w:t>USA (Poster Presentation)</w:t>
            </w:r>
          </w:p>
          <w:p w14:paraId="18DD8884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 xml:space="preserve">Microbiology Society annual meeting 2023, </w:t>
            </w:r>
            <w:r w:rsidRPr="00C27ED0">
              <w:rPr>
                <w:rFonts w:asciiTheme="majorHAnsi" w:hAnsiTheme="majorHAnsi" w:cstheme="majorHAnsi"/>
              </w:rPr>
              <w:t>UK (Poster Presentation)</w:t>
            </w:r>
          </w:p>
          <w:p w14:paraId="05CAE814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rPr>
                <w:rFonts w:asciiTheme="majorHAnsi" w:hAnsiTheme="majorHAnsi" w:cstheme="majorHAnsi"/>
                <w:b/>
                <w:bCs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 xml:space="preserve">American Association Cancer Research 2023, </w:t>
            </w:r>
            <w:r w:rsidRPr="00C27ED0">
              <w:rPr>
                <w:rFonts w:asciiTheme="majorHAnsi" w:hAnsiTheme="majorHAnsi" w:cstheme="majorHAnsi"/>
              </w:rPr>
              <w:t>USA (Poster Presentation)</w:t>
            </w:r>
          </w:p>
        </w:tc>
      </w:tr>
      <w:tr w:rsidR="00C3707D" w:rsidRPr="00C27ED0" w14:paraId="44BD7E0A" w14:textId="77777777" w:rsidTr="00462B72">
        <w:trPr>
          <w:trHeight w:val="1648"/>
        </w:trPr>
        <w:tc>
          <w:tcPr>
            <w:tcW w:w="2263" w:type="dxa"/>
          </w:tcPr>
          <w:p w14:paraId="3628F977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ind w:left="-120"/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  <w:b/>
              </w:rPr>
              <w:t>Science Outreach</w:t>
            </w:r>
          </w:p>
        </w:tc>
        <w:tc>
          <w:tcPr>
            <w:tcW w:w="7230" w:type="dxa"/>
          </w:tcPr>
          <w:p w14:paraId="5CF70952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27ED0">
              <w:rPr>
                <w:rFonts w:asciiTheme="majorHAnsi" w:hAnsiTheme="majorHAnsi" w:cstheme="majorHAnsi"/>
                <w:bCs/>
              </w:rPr>
              <w:t>Junior Director of the</w:t>
            </w:r>
            <w:r w:rsidRPr="00C27ED0">
              <w:rPr>
                <w:rFonts w:asciiTheme="majorHAnsi" w:hAnsiTheme="majorHAnsi" w:cstheme="majorHAnsi"/>
                <w:b/>
              </w:rPr>
              <w:t xml:space="preserve"> </w:t>
            </w:r>
            <w:r w:rsidRPr="00C27ED0">
              <w:rPr>
                <w:rFonts w:asciiTheme="majorHAnsi" w:hAnsiTheme="majorHAnsi" w:cstheme="majorHAnsi"/>
                <w:bCs/>
              </w:rPr>
              <w:t>Imperial College Microbiome Network (2020-2022).</w:t>
            </w:r>
          </w:p>
          <w:p w14:paraId="0C2D6662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27ED0">
              <w:rPr>
                <w:rFonts w:asciiTheme="majorHAnsi" w:hAnsiTheme="majorHAnsi" w:cstheme="majorHAnsi"/>
                <w:bCs/>
              </w:rPr>
              <w:t xml:space="preserve">Organising member of the Joint Academic Microbiology﻿ Seminars (JAMS) (2021-2023). Active member of the Drug Network and Women in Science Association at Imperial College. Participated in </w:t>
            </w:r>
            <w:r>
              <w:rPr>
                <w:rFonts w:asciiTheme="majorHAnsi" w:hAnsiTheme="majorHAnsi" w:cstheme="majorHAnsi"/>
                <w:bCs/>
              </w:rPr>
              <w:t xml:space="preserve">the </w:t>
            </w:r>
            <w:r w:rsidRPr="00C27ED0">
              <w:rPr>
                <w:rFonts w:asciiTheme="majorHAnsi" w:hAnsiTheme="majorHAnsi" w:cstheme="majorHAnsi"/>
                <w:bCs/>
              </w:rPr>
              <w:t>Exhibition Road Festival (2022) and currently collaborating with clinical trials unit to promote public engagement.</w:t>
            </w:r>
          </w:p>
        </w:tc>
      </w:tr>
      <w:tr w:rsidR="00C3707D" w:rsidRPr="00C27ED0" w14:paraId="0C464413" w14:textId="77777777" w:rsidTr="00462B72">
        <w:trPr>
          <w:trHeight w:val="409"/>
        </w:trPr>
        <w:tc>
          <w:tcPr>
            <w:tcW w:w="2263" w:type="dxa"/>
          </w:tcPr>
          <w:p w14:paraId="34992791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ind w:left="-120"/>
              <w:rPr>
                <w:rFonts w:asciiTheme="majorHAnsi" w:hAnsiTheme="majorHAnsi" w:cstheme="majorHAnsi"/>
                <w:b/>
                <w:bCs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Qualifications </w:t>
            </w:r>
          </w:p>
        </w:tc>
        <w:tc>
          <w:tcPr>
            <w:tcW w:w="7230" w:type="dxa"/>
          </w:tcPr>
          <w:p w14:paraId="728FA8A9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jc w:val="both"/>
              <w:rPr>
                <w:rFonts w:asciiTheme="majorHAnsi" w:hAnsiTheme="majorHAnsi" w:cstheme="majorHAnsi"/>
              </w:rPr>
            </w:pPr>
            <w:r w:rsidRPr="00C27ED0">
              <w:rPr>
                <w:rFonts w:asciiTheme="majorHAnsi" w:hAnsiTheme="majorHAnsi" w:cstheme="majorHAnsi"/>
              </w:rPr>
              <w:t xml:space="preserve">Good Clinical Practise (GCP) certification </w:t>
            </w:r>
            <w:r>
              <w:rPr>
                <w:rFonts w:asciiTheme="majorHAnsi" w:hAnsiTheme="majorHAnsi" w:cstheme="majorHAnsi"/>
              </w:rPr>
              <w:t>(</w:t>
            </w:r>
            <w:r w:rsidRPr="00C27ED0">
              <w:rPr>
                <w:rFonts w:asciiTheme="majorHAnsi" w:hAnsiTheme="majorHAnsi" w:cstheme="majorHAnsi"/>
              </w:rPr>
              <w:t>2019</w:t>
            </w:r>
            <w:r>
              <w:rPr>
                <w:rFonts w:asciiTheme="majorHAnsi" w:hAnsiTheme="majorHAnsi" w:cstheme="majorHAnsi"/>
              </w:rPr>
              <w:t>)</w:t>
            </w:r>
            <w:r w:rsidRPr="00C27ED0">
              <w:rPr>
                <w:rFonts w:asciiTheme="majorHAnsi" w:hAnsiTheme="majorHAnsi" w:cstheme="majorHAnsi"/>
              </w:rPr>
              <w:t>.</w:t>
            </w:r>
          </w:p>
        </w:tc>
      </w:tr>
      <w:tr w:rsidR="00C3707D" w:rsidRPr="00C27ED0" w14:paraId="18E397D0" w14:textId="77777777" w:rsidTr="00462B72">
        <w:trPr>
          <w:trHeight w:val="1295"/>
        </w:trPr>
        <w:tc>
          <w:tcPr>
            <w:tcW w:w="2263" w:type="dxa"/>
          </w:tcPr>
          <w:p w14:paraId="7EAE36EF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ind w:left="-120"/>
              <w:rPr>
                <w:rFonts w:asciiTheme="majorHAnsi" w:hAnsiTheme="majorHAnsi" w:cstheme="majorHAnsi"/>
                <w:b/>
                <w:bCs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>Awards</w:t>
            </w:r>
          </w:p>
        </w:tc>
        <w:tc>
          <w:tcPr>
            <w:tcW w:w="7230" w:type="dxa"/>
          </w:tcPr>
          <w:p w14:paraId="7C7E6B34" w14:textId="77777777" w:rsidR="00C3707D" w:rsidRPr="00C27ED0" w:rsidRDefault="00C3707D" w:rsidP="00462B72">
            <w:pPr>
              <w:pStyle w:val="cvgsua"/>
              <w:numPr>
                <w:ilvl w:val="0"/>
                <w:numId w:val="5"/>
              </w:numPr>
              <w:spacing w:before="0" w:beforeAutospacing="0" w:after="120" w:afterAutospacing="0"/>
              <w:ind w:left="0" w:hanging="175"/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Studentship awarded for a fully funded PhD by Stratified Medicine Graduate Training Program in Systems Medicine and Spectroscopic Profiling (</w:t>
            </w:r>
            <w:proofErr w:type="spellStart"/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>STRATiGRAD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) and Medical Research Council Doctoral Training Program (</w:t>
            </w:r>
            <w:r w:rsidRPr="00C27ED0">
              <w:rPr>
                <w:rFonts w:asciiTheme="majorHAnsi" w:hAnsiTheme="majorHAnsi" w:cstheme="majorHAnsi"/>
                <w:b/>
                <w:sz w:val="22"/>
                <w:szCs w:val="22"/>
              </w:rPr>
              <w:t>MRC-DTP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MRC travel grant (2023) for attending AACR meeting to present my work.</w:t>
            </w:r>
          </w:p>
        </w:tc>
      </w:tr>
      <w:tr w:rsidR="00C3707D" w:rsidRPr="00C27ED0" w14:paraId="2FC32781" w14:textId="77777777" w:rsidTr="00462B72">
        <w:trPr>
          <w:trHeight w:val="4248"/>
        </w:trPr>
        <w:tc>
          <w:tcPr>
            <w:tcW w:w="2263" w:type="dxa"/>
          </w:tcPr>
          <w:p w14:paraId="6E43CC05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ind w:left="-120"/>
              <w:rPr>
                <w:rFonts w:asciiTheme="majorHAnsi" w:hAnsiTheme="majorHAnsi" w:cstheme="majorHAnsi"/>
                <w:b/>
                <w:bCs/>
              </w:rPr>
            </w:pPr>
            <w:r w:rsidRPr="00C27ED0">
              <w:rPr>
                <w:rFonts w:asciiTheme="majorHAnsi" w:hAnsiTheme="majorHAnsi" w:cstheme="majorHAnsi"/>
                <w:b/>
                <w:bCs/>
              </w:rPr>
              <w:t>Publications</w:t>
            </w:r>
          </w:p>
          <w:p w14:paraId="39F6C444" w14:textId="77777777" w:rsidR="00C3707D" w:rsidRPr="00C27ED0" w:rsidRDefault="00C3707D" w:rsidP="00462B72">
            <w:pPr>
              <w:tabs>
                <w:tab w:val="center" w:pos="5304"/>
              </w:tabs>
              <w:spacing w:after="3" w:line="260" w:lineRule="auto"/>
              <w:ind w:left="-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27ED0">
              <w:rPr>
                <w:rFonts w:asciiTheme="majorHAnsi" w:hAnsiTheme="majorHAnsi" w:cstheme="majorHAnsi"/>
                <w:sz w:val="20"/>
                <w:szCs w:val="20"/>
              </w:rPr>
              <w:t>ORCID:</w:t>
            </w:r>
            <w:r w:rsidRPr="00C27E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C27ED0">
                <w:rPr>
                  <w:rStyle w:val="Hyperlink"/>
                  <w:rFonts w:asciiTheme="majorHAnsi" w:hAnsiTheme="majorHAnsi" w:cstheme="majorHAnsi"/>
                  <w:color w:val="006699"/>
                  <w:sz w:val="20"/>
                  <w:szCs w:val="20"/>
                </w:rPr>
                <w:t>https://orcid.org/0000-0001-8150-7142</w:t>
              </w:r>
            </w:hyperlink>
            <w:r w:rsidRPr="00C27ED0">
              <w:rPr>
                <w:rFonts w:asciiTheme="majorHAnsi" w:hAnsiTheme="majorHAnsi" w:cstheme="majorHAnsi"/>
                <w:b/>
                <w:bCs/>
                <w:color w:val="006699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</w:tcPr>
          <w:p w14:paraId="4AD446A2" w14:textId="77777777" w:rsidR="00C3707D" w:rsidRPr="00C27ED0" w:rsidRDefault="00C3707D" w:rsidP="00462B72">
            <w:pPr>
              <w:pStyle w:val="cvgsua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3 published abstracts.</w:t>
            </w:r>
          </w:p>
          <w:p w14:paraId="4CA69E33" w14:textId="77777777" w:rsidR="00C3707D" w:rsidRPr="00C27ED0" w:rsidRDefault="00C3707D" w:rsidP="00462B72">
            <w:pPr>
              <w:pStyle w:val="cvgsua"/>
              <w:numPr>
                <w:ilvl w:val="2"/>
                <w:numId w:val="10"/>
              </w:numPr>
              <w:spacing w:before="0" w:beforeAutospacing="0" w:after="0" w:afterAutospacing="0"/>
              <w:ind w:left="1036" w:hanging="218"/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tgtFrame="_blank" w:history="1">
              <w:r w:rsidRPr="00C27ED0">
                <w:rPr>
                  <w:rStyle w:val="Hyperlink"/>
                  <w:rFonts w:asciiTheme="majorHAnsi" w:hAnsiTheme="majorHAnsi" w:cstheme="majorHAnsi"/>
                  <w:color w:val="085C77"/>
                  <w:sz w:val="22"/>
                  <w:szCs w:val="22"/>
                  <w:shd w:val="clear" w:color="auto" w:fill="FFFFFF"/>
                </w:rPr>
                <w:t>10.1016/s0016-5085(21)01653-x</w:t>
              </w:r>
            </w:hyperlink>
          </w:p>
          <w:p w14:paraId="2F0FF334" w14:textId="77777777" w:rsidR="00C3707D" w:rsidRPr="00C27ED0" w:rsidRDefault="00C3707D" w:rsidP="00462B72">
            <w:pPr>
              <w:pStyle w:val="cvgsua"/>
              <w:numPr>
                <w:ilvl w:val="2"/>
                <w:numId w:val="10"/>
              </w:numPr>
              <w:spacing w:before="0" w:beforeAutospacing="0" w:after="0" w:afterAutospacing="0"/>
              <w:ind w:left="1036" w:hanging="218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tgtFrame="_blank" w:history="1">
              <w:r w:rsidRPr="00C27ED0">
                <w:rPr>
                  <w:rStyle w:val="Hyperlink"/>
                  <w:rFonts w:asciiTheme="majorHAnsi" w:hAnsiTheme="majorHAnsi" w:cstheme="majorHAnsi"/>
                  <w:color w:val="085C77"/>
                  <w:sz w:val="22"/>
                  <w:szCs w:val="22"/>
                  <w:shd w:val="clear" w:color="auto" w:fill="FFFFFF"/>
                </w:rPr>
                <w:t>10.1016/s0016-5085(22)61077-1</w:t>
              </w:r>
            </w:hyperlink>
          </w:p>
          <w:p w14:paraId="11F1E238" w14:textId="77777777" w:rsidR="00C3707D" w:rsidRPr="00C27ED0" w:rsidRDefault="00C3707D" w:rsidP="00462B72">
            <w:pPr>
              <w:pStyle w:val="cvgsua"/>
              <w:numPr>
                <w:ilvl w:val="2"/>
                <w:numId w:val="10"/>
              </w:numPr>
              <w:spacing w:before="0" w:beforeAutospacing="0" w:after="0" w:afterAutospacing="0"/>
              <w:ind w:left="1036" w:hanging="218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tgtFrame="_blank" w:history="1">
              <w:r w:rsidRPr="00C27ED0">
                <w:rPr>
                  <w:rStyle w:val="Hyperlink"/>
                  <w:rFonts w:asciiTheme="majorHAnsi" w:hAnsiTheme="majorHAnsi" w:cstheme="majorHAnsi"/>
                  <w:color w:val="085C77"/>
                  <w:sz w:val="22"/>
                  <w:szCs w:val="22"/>
                  <w:shd w:val="clear" w:color="auto" w:fill="FFFFFF"/>
                </w:rPr>
                <w:t>10.1016/s0016-5085(24)01774-8</w:t>
              </w:r>
            </w:hyperlink>
          </w:p>
          <w:p w14:paraId="07802709" w14:textId="77777777" w:rsidR="00C3707D" w:rsidRPr="00C27ED0" w:rsidRDefault="00C3707D" w:rsidP="00462B72">
            <w:pPr>
              <w:pStyle w:val="cvgsua"/>
              <w:numPr>
                <w:ilvl w:val="0"/>
                <w:numId w:val="9"/>
              </w:numPr>
              <w:spacing w:before="0" w:beforeAutospacing="0" w:after="12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Chrysostomou D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, Roberts, LA, Marchesi JR, Kinross, JM. Gut Microbiota Modulation of Efficacy and Toxicity of Cancer Chemotherapy and Immunotherapy. </w:t>
            </w:r>
            <w:r w:rsidRPr="00C27ED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Gastroenterology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, 2022 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[review article].</w:t>
            </w:r>
          </w:p>
          <w:p w14:paraId="5A662995" w14:textId="77777777" w:rsidR="00C3707D" w:rsidRPr="00C27ED0" w:rsidRDefault="00C3707D" w:rsidP="00462B72">
            <w:pPr>
              <w:pStyle w:val="cvgsua"/>
              <w:numPr>
                <w:ilvl w:val="0"/>
                <w:numId w:val="9"/>
              </w:numPr>
              <w:spacing w:before="0" w:beforeAutospacing="0" w:after="120" w:afterAutospacing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Perry RW,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Mullish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BH, Alexander JL, Shah R,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Danckert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N,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Miguens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Blanco J, Roberts L, Liu Z, </w:t>
            </w:r>
            <w:r w:rsidRPr="00C27E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Chrysostomou D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C27ED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et. al., 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3D-printed Rectal Swabs for Assessing the Gut Microbiome, </w:t>
            </w:r>
            <w:proofErr w:type="gram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Metabolome</w:t>
            </w:r>
            <w:proofErr w:type="gram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and Inflammation.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27ED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Nature Scientific Reports, 2024.</w:t>
            </w:r>
          </w:p>
          <w:p w14:paraId="1C562481" w14:textId="77777777" w:rsidR="00C3707D" w:rsidRPr="00C27ED0" w:rsidRDefault="00C3707D" w:rsidP="00462B72">
            <w:pPr>
              <w:pStyle w:val="cvgsua"/>
              <w:numPr>
                <w:ilvl w:val="0"/>
                <w:numId w:val="9"/>
              </w:numPr>
              <w:spacing w:before="0" w:beforeAutospacing="0" w:after="12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Martinez-Martinez D, Viera Peres T,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Gehling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K,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Quintaneiro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L, Yang M, Cabrera C, Cutty SJ, Best L,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Marinos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G, Zimmerman J, </w:t>
            </w:r>
            <w:proofErr w:type="spellStart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>Safoor</w:t>
            </w:r>
            <w:proofErr w:type="spellEnd"/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 A, </w:t>
            </w:r>
            <w:r w:rsidRPr="00C27ED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Chrysostomou D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C27ED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et. al., </w:t>
            </w:r>
            <w:r w:rsidRPr="00C27ED0">
              <w:rPr>
                <w:rFonts w:asciiTheme="majorHAnsi" w:hAnsiTheme="majorHAnsi" w:cstheme="majorHAnsi"/>
                <w:sz w:val="22"/>
                <w:szCs w:val="22"/>
              </w:rPr>
              <w:t xml:space="preserve">Chemotherapy Modulation by a Cancer-associated Microbiota Metabolite. </w:t>
            </w:r>
            <w:r w:rsidRPr="00C27ED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Manuscript under Revision, Cell, 2024.</w:t>
            </w:r>
          </w:p>
        </w:tc>
      </w:tr>
    </w:tbl>
    <w:p w14:paraId="5FE56FC3" w14:textId="476E00CA" w:rsidR="00C3707D" w:rsidRDefault="00C3707D">
      <w:pPr>
        <w:rPr>
          <w:rFonts w:asciiTheme="majorHAnsi" w:hAnsiTheme="majorHAnsi" w:cstheme="majorHAnsi"/>
          <w:sz w:val="20"/>
          <w:szCs w:val="20"/>
        </w:rPr>
      </w:pPr>
    </w:p>
    <w:p w14:paraId="51CD302D" w14:textId="77777777" w:rsidR="00445A77" w:rsidRDefault="00445A77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3C1D9D3D" w14:textId="77777777" w:rsidR="00C3707D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688B60CF" w14:textId="77777777" w:rsidR="00C3707D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1AD9581D" w14:textId="77777777" w:rsidR="00C3707D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2DEC1300" w14:textId="77777777" w:rsidR="00C3707D" w:rsidRPr="00C27ED0" w:rsidRDefault="00C3707D" w:rsidP="00BE391B">
      <w:pPr>
        <w:tabs>
          <w:tab w:val="center" w:pos="5304"/>
        </w:tabs>
        <w:spacing w:after="3" w:line="260" w:lineRule="auto"/>
        <w:rPr>
          <w:rFonts w:asciiTheme="majorHAnsi" w:hAnsiTheme="majorHAnsi" w:cstheme="majorHAnsi"/>
          <w:sz w:val="20"/>
          <w:szCs w:val="20"/>
        </w:rPr>
      </w:pPr>
    </w:p>
    <w:p w14:paraId="4807999C" w14:textId="77777777" w:rsidR="00C27ED0" w:rsidRPr="00C27ED0" w:rsidRDefault="00C27ED0" w:rsidP="00C27ED0">
      <w:pPr>
        <w:tabs>
          <w:tab w:val="left" w:pos="1928"/>
        </w:tabs>
        <w:rPr>
          <w:rFonts w:asciiTheme="majorHAnsi" w:hAnsiTheme="majorHAnsi" w:cstheme="majorHAnsi"/>
          <w:sz w:val="20"/>
          <w:szCs w:val="20"/>
        </w:rPr>
      </w:pPr>
    </w:p>
    <w:sectPr w:rsidR="00C27ED0" w:rsidRPr="00C27ED0" w:rsidSect="0011026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A1CD" w14:textId="77777777" w:rsidR="00084346" w:rsidRDefault="00084346" w:rsidP="00830A3C">
      <w:pPr>
        <w:spacing w:after="0" w:line="240" w:lineRule="auto"/>
      </w:pPr>
      <w:r>
        <w:separator/>
      </w:r>
    </w:p>
  </w:endnote>
  <w:endnote w:type="continuationSeparator" w:id="0">
    <w:p w14:paraId="1F2C342C" w14:textId="77777777" w:rsidR="00084346" w:rsidRDefault="00084346" w:rsidP="0083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4DF8" w14:textId="77777777" w:rsidR="00084346" w:rsidRDefault="00084346" w:rsidP="00830A3C">
      <w:pPr>
        <w:spacing w:after="0" w:line="240" w:lineRule="auto"/>
      </w:pPr>
      <w:r>
        <w:separator/>
      </w:r>
    </w:p>
  </w:footnote>
  <w:footnote w:type="continuationSeparator" w:id="0">
    <w:p w14:paraId="3B18847B" w14:textId="77777777" w:rsidR="00084346" w:rsidRDefault="00084346" w:rsidP="00830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5E18"/>
    <w:multiLevelType w:val="hybridMultilevel"/>
    <w:tmpl w:val="0060C6C6"/>
    <w:lvl w:ilvl="0" w:tplc="FFFFFFFF">
      <w:start w:val="202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767750">
      <w:start w:val="2022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  <w:i w:val="0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22795"/>
    <w:multiLevelType w:val="hybridMultilevel"/>
    <w:tmpl w:val="557CF2EC"/>
    <w:lvl w:ilvl="0" w:tplc="43767750">
      <w:start w:val="20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76B3"/>
    <w:multiLevelType w:val="hybridMultilevel"/>
    <w:tmpl w:val="0998661A"/>
    <w:lvl w:ilvl="0" w:tplc="43767750">
      <w:start w:val="202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372F6"/>
    <w:multiLevelType w:val="hybridMultilevel"/>
    <w:tmpl w:val="AC363C18"/>
    <w:lvl w:ilvl="0" w:tplc="FFFFFFFF">
      <w:start w:val="20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67750">
      <w:start w:val="2022"/>
      <w:numFmt w:val="bullet"/>
      <w:lvlText w:val="-"/>
      <w:lvlJc w:val="left"/>
      <w:pPr>
        <w:ind w:left="2160" w:hanging="360"/>
      </w:pPr>
      <w:rPr>
        <w:rFonts w:ascii="Calibri Light" w:eastAsia="Times New Roman" w:hAnsi="Calibri Light" w:cs="Calibri Light" w:hint="default"/>
        <w:i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A5796"/>
    <w:multiLevelType w:val="hybridMultilevel"/>
    <w:tmpl w:val="AD6A2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947A9"/>
    <w:multiLevelType w:val="hybridMultilevel"/>
    <w:tmpl w:val="B042823C"/>
    <w:lvl w:ilvl="0" w:tplc="43767750">
      <w:start w:val="202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  <w:i w:val="0"/>
      </w:rPr>
    </w:lvl>
    <w:lvl w:ilvl="1" w:tplc="43767750">
      <w:start w:val="2022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B4A7C"/>
    <w:multiLevelType w:val="hybridMultilevel"/>
    <w:tmpl w:val="4F62B5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36F24"/>
    <w:multiLevelType w:val="hybridMultilevel"/>
    <w:tmpl w:val="25826864"/>
    <w:lvl w:ilvl="0" w:tplc="49163676">
      <w:start w:val="1"/>
      <w:numFmt w:val="bullet"/>
      <w:lvlText w:val="o"/>
      <w:lvlJc w:val="left"/>
      <w:pPr>
        <w:ind w:left="3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EC1382">
      <w:start w:val="1"/>
      <w:numFmt w:val="bullet"/>
      <w:lvlText w:val="o"/>
      <w:lvlJc w:val="left"/>
      <w:pPr>
        <w:ind w:left="14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2CAF4">
      <w:start w:val="1"/>
      <w:numFmt w:val="bullet"/>
      <w:lvlText w:val="▪"/>
      <w:lvlJc w:val="left"/>
      <w:pPr>
        <w:ind w:left="2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0AE44">
      <w:start w:val="1"/>
      <w:numFmt w:val="bullet"/>
      <w:lvlText w:val="•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427BE">
      <w:start w:val="1"/>
      <w:numFmt w:val="bullet"/>
      <w:lvlText w:val="o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73DA">
      <w:start w:val="1"/>
      <w:numFmt w:val="bullet"/>
      <w:lvlText w:val="▪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ED84C">
      <w:start w:val="1"/>
      <w:numFmt w:val="bullet"/>
      <w:lvlText w:val="•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CB572">
      <w:start w:val="1"/>
      <w:numFmt w:val="bullet"/>
      <w:lvlText w:val="o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CA0A6">
      <w:start w:val="1"/>
      <w:numFmt w:val="bullet"/>
      <w:lvlText w:val="▪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9C29F2"/>
    <w:multiLevelType w:val="hybridMultilevel"/>
    <w:tmpl w:val="31201266"/>
    <w:lvl w:ilvl="0" w:tplc="67EC313C">
      <w:start w:val="202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74A44"/>
    <w:multiLevelType w:val="hybridMultilevel"/>
    <w:tmpl w:val="92D6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730">
    <w:abstractNumId w:val="7"/>
  </w:num>
  <w:num w:numId="2" w16cid:durableId="681853840">
    <w:abstractNumId w:val="4"/>
  </w:num>
  <w:num w:numId="3" w16cid:durableId="1291128022">
    <w:abstractNumId w:val="6"/>
  </w:num>
  <w:num w:numId="4" w16cid:durableId="1212498679">
    <w:abstractNumId w:val="8"/>
  </w:num>
  <w:num w:numId="5" w16cid:durableId="490219376">
    <w:abstractNumId w:val="5"/>
  </w:num>
  <w:num w:numId="6" w16cid:durableId="947809735">
    <w:abstractNumId w:val="1"/>
  </w:num>
  <w:num w:numId="7" w16cid:durableId="423959939">
    <w:abstractNumId w:val="3"/>
  </w:num>
  <w:num w:numId="8" w16cid:durableId="410321384">
    <w:abstractNumId w:val="9"/>
  </w:num>
  <w:num w:numId="9" w16cid:durableId="1836725839">
    <w:abstractNumId w:val="2"/>
  </w:num>
  <w:num w:numId="10" w16cid:durableId="27625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F"/>
    <w:rsid w:val="0003244F"/>
    <w:rsid w:val="00084346"/>
    <w:rsid w:val="0009718C"/>
    <w:rsid w:val="000A4739"/>
    <w:rsid w:val="000D4151"/>
    <w:rsid w:val="000D5694"/>
    <w:rsid w:val="000F331A"/>
    <w:rsid w:val="00110267"/>
    <w:rsid w:val="001722DE"/>
    <w:rsid w:val="00251E1B"/>
    <w:rsid w:val="00280784"/>
    <w:rsid w:val="00291C11"/>
    <w:rsid w:val="00297C07"/>
    <w:rsid w:val="002F609F"/>
    <w:rsid w:val="003040AF"/>
    <w:rsid w:val="003F6D26"/>
    <w:rsid w:val="00435F84"/>
    <w:rsid w:val="00441F96"/>
    <w:rsid w:val="00445A77"/>
    <w:rsid w:val="00473275"/>
    <w:rsid w:val="00500AEB"/>
    <w:rsid w:val="0052558E"/>
    <w:rsid w:val="00535EF5"/>
    <w:rsid w:val="0054212E"/>
    <w:rsid w:val="005435BD"/>
    <w:rsid w:val="00566249"/>
    <w:rsid w:val="005A23D6"/>
    <w:rsid w:val="005B0A96"/>
    <w:rsid w:val="005B7C76"/>
    <w:rsid w:val="005D2E17"/>
    <w:rsid w:val="005E0177"/>
    <w:rsid w:val="00611B5F"/>
    <w:rsid w:val="006906F2"/>
    <w:rsid w:val="006F2BE4"/>
    <w:rsid w:val="00711E4B"/>
    <w:rsid w:val="00730A44"/>
    <w:rsid w:val="007566EA"/>
    <w:rsid w:val="0077575C"/>
    <w:rsid w:val="007E0E53"/>
    <w:rsid w:val="007F59C5"/>
    <w:rsid w:val="00830A3C"/>
    <w:rsid w:val="00852EB9"/>
    <w:rsid w:val="00853FAA"/>
    <w:rsid w:val="008756F2"/>
    <w:rsid w:val="00881C2A"/>
    <w:rsid w:val="008C001E"/>
    <w:rsid w:val="008F1730"/>
    <w:rsid w:val="0090262F"/>
    <w:rsid w:val="00923085"/>
    <w:rsid w:val="00947632"/>
    <w:rsid w:val="00994F32"/>
    <w:rsid w:val="009B275F"/>
    <w:rsid w:val="009D6F7A"/>
    <w:rsid w:val="009E2427"/>
    <w:rsid w:val="009F2F02"/>
    <w:rsid w:val="00A66C1A"/>
    <w:rsid w:val="00A750AF"/>
    <w:rsid w:val="00A94BA8"/>
    <w:rsid w:val="00AD401A"/>
    <w:rsid w:val="00B14DD3"/>
    <w:rsid w:val="00B1738C"/>
    <w:rsid w:val="00B27ADE"/>
    <w:rsid w:val="00B52BCA"/>
    <w:rsid w:val="00B66B41"/>
    <w:rsid w:val="00B77BEB"/>
    <w:rsid w:val="00BA7FDA"/>
    <w:rsid w:val="00BD5CA7"/>
    <w:rsid w:val="00BE391B"/>
    <w:rsid w:val="00C05430"/>
    <w:rsid w:val="00C12AD6"/>
    <w:rsid w:val="00C27ED0"/>
    <w:rsid w:val="00C3707D"/>
    <w:rsid w:val="00C509E4"/>
    <w:rsid w:val="00C67FE5"/>
    <w:rsid w:val="00C763A6"/>
    <w:rsid w:val="00C9031D"/>
    <w:rsid w:val="00CA1C06"/>
    <w:rsid w:val="00CC4A1D"/>
    <w:rsid w:val="00CE61AA"/>
    <w:rsid w:val="00CF27A4"/>
    <w:rsid w:val="00CF750F"/>
    <w:rsid w:val="00D13621"/>
    <w:rsid w:val="00D473D6"/>
    <w:rsid w:val="00DC259F"/>
    <w:rsid w:val="00DD4DA9"/>
    <w:rsid w:val="00DD500E"/>
    <w:rsid w:val="00DF6E1E"/>
    <w:rsid w:val="00E60EBC"/>
    <w:rsid w:val="00EC10B7"/>
    <w:rsid w:val="00F95176"/>
    <w:rsid w:val="00F97269"/>
    <w:rsid w:val="00FC410A"/>
    <w:rsid w:val="00FE2CEC"/>
    <w:rsid w:val="00FE5244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E617"/>
  <w15:chartTrackingRefBased/>
  <w15:docId w15:val="{E6F6B8A5-A3F6-4467-97BB-109BE2C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75F"/>
    <w:rPr>
      <w:color w:val="605E5C"/>
      <w:shd w:val="clear" w:color="auto" w:fill="E1DFDD"/>
    </w:rPr>
  </w:style>
  <w:style w:type="table" w:customStyle="1" w:styleId="TableGrid1">
    <w:name w:val="Table Grid1"/>
    <w:rsid w:val="009B275F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ypena">
    <w:name w:val="oypena"/>
    <w:basedOn w:val="DefaultParagraphFont"/>
    <w:rsid w:val="00AD401A"/>
  </w:style>
  <w:style w:type="paragraph" w:customStyle="1" w:styleId="cvgsua">
    <w:name w:val="cvgsua"/>
    <w:basedOn w:val="Normal"/>
    <w:rsid w:val="0054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l-cursor">
    <w:name w:val="ql-cursor"/>
    <w:basedOn w:val="DefaultParagraphFont"/>
    <w:rsid w:val="0054212E"/>
  </w:style>
  <w:style w:type="paragraph" w:styleId="ListParagraph">
    <w:name w:val="List Paragraph"/>
    <w:basedOn w:val="Normal"/>
    <w:uiPriority w:val="34"/>
    <w:qFormat/>
    <w:rsid w:val="0054212E"/>
    <w:pPr>
      <w:ind w:left="720"/>
      <w:contextualSpacing/>
    </w:pPr>
  </w:style>
  <w:style w:type="table" w:styleId="TableGrid">
    <w:name w:val="Table Grid"/>
    <w:basedOn w:val="TableNormal"/>
    <w:uiPriority w:val="39"/>
    <w:rsid w:val="00BE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0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3C"/>
  </w:style>
  <w:style w:type="paragraph" w:styleId="Footer">
    <w:name w:val="footer"/>
    <w:basedOn w:val="Normal"/>
    <w:link w:val="FooterChar"/>
    <w:uiPriority w:val="99"/>
    <w:unhideWhenUsed/>
    <w:rsid w:val="00830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3C"/>
  </w:style>
  <w:style w:type="paragraph" w:styleId="Revision">
    <w:name w:val="Revision"/>
    <w:hidden/>
    <w:uiPriority w:val="99"/>
    <w:semiHidden/>
    <w:rsid w:val="003040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C2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7F59C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7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150-7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c718@ic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s0016-5085(24)01774-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16/s0016-5085(22)61077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s0016-5085(21)01653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Chrysostomou, Despoina</dc:creator>
  <cp:keywords/>
  <dc:description/>
  <cp:lastModifiedBy>Chrysostomou, Despoina</cp:lastModifiedBy>
  <cp:revision>41</cp:revision>
  <dcterms:created xsi:type="dcterms:W3CDTF">2024-01-09T13:56:00Z</dcterms:created>
  <dcterms:modified xsi:type="dcterms:W3CDTF">2024-07-25T15:56:00Z</dcterms:modified>
</cp:coreProperties>
</file>